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黑体" w:eastAsia="黑体"/>
          <w:szCs w:val="32"/>
        </w:rPr>
      </w:pPr>
      <w:r>
        <w:rPr>
          <w:rFonts w:hint="eastAsia" w:ascii="黑体" w:eastAsia="黑体"/>
          <w:szCs w:val="32"/>
        </w:rPr>
        <w:t>附</w:t>
      </w:r>
      <w:bookmarkStart w:id="0" w:name="_GoBack"/>
      <w:bookmarkEnd w:id="0"/>
      <w:r>
        <w:rPr>
          <w:rFonts w:hint="eastAsia" w:ascii="黑体" w:eastAsia="黑体"/>
          <w:szCs w:val="32"/>
        </w:rPr>
        <w:t>件1</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Style w:val="9"/>
          <w:rFonts w:hint="eastAsia" w:ascii="方正小标宋简体" w:hAnsi="方正小标宋简体" w:eastAsia="方正小标宋简体" w:cs="方正小标宋简体"/>
          <w:sz w:val="36"/>
          <w:szCs w:val="36"/>
          <w:lang w:val="en-US" w:eastAsia="zh-CN"/>
        </w:rPr>
      </w:pPr>
      <w:r>
        <w:rPr>
          <w:rStyle w:val="9"/>
          <w:rFonts w:hint="eastAsia" w:ascii="方正小标宋简体" w:hAnsi="方正小标宋简体" w:eastAsia="方正小标宋简体" w:cs="方正小标宋简体"/>
          <w:sz w:val="36"/>
          <w:szCs w:val="36"/>
          <w:lang w:val="en-US" w:eastAsia="zh-CN"/>
        </w:rPr>
        <w:t>2023年度上海市城市数字化转型专项资金</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Style w:val="9"/>
          <w:rFonts w:hint="eastAsia" w:ascii="方正小标宋简体" w:hAnsi="方正小标宋简体" w:eastAsia="方正小标宋简体" w:cs="方正小标宋简体"/>
          <w:sz w:val="36"/>
          <w:szCs w:val="36"/>
          <w:lang w:val="en-US" w:eastAsia="zh-CN"/>
        </w:rPr>
      </w:pPr>
      <w:r>
        <w:rPr>
          <w:rStyle w:val="9"/>
          <w:rFonts w:hint="eastAsia" w:ascii="方正小标宋简体" w:hAnsi="方正小标宋简体" w:eastAsia="方正小标宋简体" w:cs="方正小标宋简体"/>
          <w:sz w:val="36"/>
          <w:szCs w:val="36"/>
          <w:lang w:val="en-US" w:eastAsia="zh-CN"/>
        </w:rPr>
        <w:t>支持项目指南</w:t>
      </w:r>
    </w:p>
    <w:p>
      <w:pPr>
        <w:keepNext w:val="0"/>
        <w:keepLines w:val="0"/>
        <w:pageBreakBefore w:val="0"/>
        <w:tabs>
          <w:tab w:val="left" w:pos="2999"/>
        </w:tabs>
        <w:kinsoku/>
        <w:wordWrap/>
        <w:overflowPunct/>
        <w:topLinePunct w:val="0"/>
        <w:autoSpaceDE/>
        <w:autoSpaceDN/>
        <w:bidi w:val="0"/>
        <w:adjustRightInd w:val="0"/>
        <w:snapToGrid w:val="0"/>
        <w:spacing w:line="500" w:lineRule="exact"/>
        <w:jc w:val="center"/>
        <w:textAlignment w:val="auto"/>
        <w:rPr>
          <w:rFonts w:ascii="方正小标宋简体" w:hAnsi="方正小标宋简体" w:eastAsia="方正小标宋简体"/>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一、数字化创新应用</w:t>
      </w: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（一）医疗卫生</w:t>
      </w: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以互联网和物联网技术为基础，在</w:t>
      </w:r>
      <w:r>
        <w:rPr>
          <w:rFonts w:hint="eastAsia" w:ascii="仿宋_GB2312" w:hAnsi="仿宋_GB2312" w:eastAsia="仿宋_GB2312" w:cs="仿宋_GB2312"/>
          <w:sz w:val="32"/>
          <w:szCs w:val="32"/>
          <w:lang w:eastAsia="zh-CN"/>
        </w:rPr>
        <w:t>市民</w:t>
      </w:r>
      <w:r>
        <w:rPr>
          <w:rFonts w:hint="eastAsia" w:ascii="仿宋_GB2312" w:hAnsi="仿宋_GB2312" w:eastAsia="仿宋_GB2312" w:cs="仿宋_GB2312"/>
          <w:sz w:val="32"/>
          <w:szCs w:val="32"/>
        </w:rPr>
        <w:t>便捷就医、</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，医疗机构高效管理、</w:t>
      </w:r>
      <w:r>
        <w:rPr>
          <w:rFonts w:hint="eastAsia" w:ascii="仿宋_GB2312" w:hAnsi="仿宋_GB2312" w:eastAsia="仿宋_GB2312" w:cs="仿宋_GB2312"/>
          <w:sz w:val="32"/>
          <w:szCs w:val="32"/>
        </w:rPr>
        <w:t>医疗服务提升</w:t>
      </w:r>
      <w:r>
        <w:rPr>
          <w:rFonts w:hint="eastAsia" w:ascii="仿宋_GB2312" w:hAnsi="仿宋_GB2312" w:eastAsia="仿宋_GB2312" w:cs="仿宋_GB2312"/>
          <w:sz w:val="32"/>
          <w:szCs w:val="32"/>
          <w:lang w:eastAsia="zh-CN"/>
        </w:rPr>
        <w:t>、医学科研教育</w:t>
      </w:r>
      <w:r>
        <w:rPr>
          <w:rFonts w:hint="eastAsia" w:ascii="仿宋_GB2312" w:hAnsi="仿宋_GB2312" w:eastAsia="仿宋_GB2312" w:cs="仿宋_GB2312"/>
          <w:sz w:val="32"/>
          <w:szCs w:val="32"/>
        </w:rPr>
        <w:t>等方面，开展示范性、平台型场景应用，推广后可全面提升医疗卫生数字化整体能力的项目。</w:t>
      </w: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依托人工智能大模型，利用临床诊断、基因测序、生物医药等方向数据，在智能诊断模型、机器人智能康复、医药研发应用</w:t>
      </w:r>
      <w:r>
        <w:rPr>
          <w:rFonts w:hint="eastAsia" w:ascii="仿宋_GB2312" w:hAnsi="仿宋_GB2312" w:eastAsia="仿宋_GB2312" w:cs="仿宋_GB2312"/>
          <w:sz w:val="32"/>
          <w:szCs w:val="32"/>
          <w:lang w:eastAsia="zh-CN"/>
        </w:rPr>
        <w:t>、精准医疗</w:t>
      </w:r>
      <w:r>
        <w:rPr>
          <w:rFonts w:hint="eastAsia" w:ascii="仿宋_GB2312" w:hAnsi="仿宋_GB2312" w:eastAsia="仿宋_GB2312" w:cs="仿宋_GB2312"/>
          <w:sz w:val="32"/>
          <w:szCs w:val="32"/>
        </w:rPr>
        <w:t>等方面有突破性研究并可大</w:t>
      </w:r>
      <w:r>
        <w:rPr>
          <w:rFonts w:hint="eastAsia" w:ascii="仿宋_GB2312" w:hAnsi="仿宋_GB2312" w:eastAsia="仿宋_GB2312" w:cs="仿宋_GB2312"/>
          <w:sz w:val="32"/>
          <w:szCs w:val="32"/>
          <w:lang w:eastAsia="zh-CN"/>
        </w:rPr>
        <w:t>规模</w:t>
      </w:r>
      <w:r>
        <w:rPr>
          <w:rFonts w:hint="eastAsia" w:ascii="仿宋_GB2312" w:hAnsi="仿宋_GB2312" w:eastAsia="仿宋_GB2312" w:cs="仿宋_GB2312"/>
          <w:sz w:val="32"/>
          <w:szCs w:val="32"/>
        </w:rPr>
        <w:t>推广的项目。</w:t>
      </w: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以信息创新为主要目标，通过通用性平台或共用性模块，提升医疗机构信息创新改造速度、增强信息创新服务能级、提升信息创新安全等级的项目。</w:t>
      </w: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“数字鸿沟”弥合</w:t>
      </w: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以互联网、物联网应用为手段，通过线上线下融合等方式，</w:t>
      </w:r>
      <w:r>
        <w:rPr>
          <w:rFonts w:hint="eastAsia" w:ascii="仿宋_GB2312" w:hAnsi="仿宋_GB2312" w:eastAsia="仿宋_GB2312" w:cs="仿宋_GB2312"/>
          <w:sz w:val="32"/>
          <w:szCs w:val="32"/>
          <w:lang w:eastAsia="zh-CN"/>
        </w:rPr>
        <w:t>帮助</w:t>
      </w:r>
      <w:r>
        <w:rPr>
          <w:rFonts w:hint="eastAsia" w:ascii="仿宋_GB2312" w:hAnsi="仿宋_GB2312" w:eastAsia="仿宋_GB2312" w:cs="仿宋_GB2312"/>
          <w:sz w:val="32"/>
          <w:szCs w:val="32"/>
        </w:rPr>
        <w:t>老年人、残障人士便捷获取就医买药、出行交通、照顾护理、消费助餐</w:t>
      </w:r>
      <w:r>
        <w:rPr>
          <w:rFonts w:hint="eastAsia" w:ascii="仿宋_GB2312" w:hAnsi="仿宋_GB2312" w:eastAsia="仿宋_GB2312" w:cs="仿宋_GB2312"/>
          <w:sz w:val="32"/>
          <w:szCs w:val="32"/>
          <w:lang w:eastAsia="zh-CN"/>
        </w:rPr>
        <w:t>、文化娱乐</w:t>
      </w:r>
      <w:r>
        <w:rPr>
          <w:rFonts w:hint="eastAsia" w:ascii="仿宋_GB2312" w:hAnsi="仿宋_GB2312" w:eastAsia="仿宋_GB2312" w:cs="仿宋_GB2312"/>
          <w:sz w:val="32"/>
          <w:szCs w:val="32"/>
        </w:rPr>
        <w:t>等社区服务的数字化项目。在上海“数字伙伴计划”中参与服务的相关产品和平台。</w:t>
      </w: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有效提升养老机构设施设备水平和整体服务能级，</w:t>
      </w:r>
      <w:r>
        <w:rPr>
          <w:rFonts w:hint="eastAsia" w:ascii="仿宋_GB2312" w:hAnsi="仿宋_GB2312" w:eastAsia="仿宋_GB2312" w:cs="仿宋_GB2312"/>
          <w:sz w:val="32"/>
          <w:szCs w:val="32"/>
          <w:lang w:eastAsia="zh-CN"/>
        </w:rPr>
        <w:t>服务老年人医养结合，</w:t>
      </w:r>
      <w:r>
        <w:rPr>
          <w:rFonts w:hint="eastAsia" w:ascii="仿宋_GB2312" w:hAnsi="仿宋_GB2312" w:eastAsia="仿宋_GB2312" w:cs="仿宋_GB2312"/>
          <w:sz w:val="32"/>
          <w:szCs w:val="32"/>
        </w:rPr>
        <w:t>形成养老机构数字化转型相关标准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且在养老机构中规模化推广的数字化项目。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28"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利用人工智能技术及可穿戴设备，在协助老年人、残障人士</w:t>
      </w:r>
      <w:r>
        <w:rPr>
          <w:rFonts w:hint="eastAsia" w:ascii="仿宋_GB2312" w:hAnsi="仿宋_GB2312" w:eastAsia="仿宋_GB2312" w:cs="仿宋_GB2312"/>
          <w:sz w:val="32"/>
          <w:szCs w:val="32"/>
          <w:lang w:eastAsia="zh-CN"/>
        </w:rPr>
        <w:t>等的</w:t>
      </w:r>
      <w:r>
        <w:rPr>
          <w:rFonts w:hint="eastAsia" w:ascii="仿宋_GB2312" w:hAnsi="仿宋_GB2312" w:eastAsia="仿宋_GB2312" w:cs="仿宋_GB2312"/>
          <w:sz w:val="32"/>
          <w:szCs w:val="32"/>
        </w:rPr>
        <w:t>智能康健、术后恢复等方面发挥突出作用的数字化项目。</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（三）交通出行</w:t>
      </w: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1、聚焦商圈、社区、景区、交通枢纽等重点区域，</w:t>
      </w:r>
      <w:r>
        <w:rPr>
          <w:rFonts w:hint="eastAsia" w:ascii="仿宋_GB2312" w:hAnsi="仿宋_GB2312" w:eastAsia="仿宋_GB2312" w:cs="仿宋_GB2312"/>
          <w:sz w:val="32"/>
          <w:szCs w:val="32"/>
          <w:lang w:eastAsia="zh-CN"/>
        </w:rPr>
        <w:t>利用数字孪生、智能时空等技术，</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人流引导、安全管理、资源共享、室内外精准导航等示范应用，</w:t>
      </w:r>
      <w:r>
        <w:rPr>
          <w:rFonts w:hint="eastAsia" w:ascii="仿宋_GB2312" w:hAnsi="仿宋_GB2312" w:eastAsia="仿宋_GB2312" w:cs="仿宋_GB2312"/>
          <w:sz w:val="32"/>
          <w:szCs w:val="32"/>
        </w:rPr>
        <w:t>提升停车便捷度</w:t>
      </w:r>
      <w:r>
        <w:rPr>
          <w:rFonts w:hint="eastAsia" w:ascii="仿宋_GB2312" w:hAnsi="仿宋_GB2312" w:eastAsia="仿宋_GB2312" w:cs="仿宋_GB2312"/>
          <w:sz w:val="32"/>
          <w:szCs w:val="32"/>
          <w:lang w:eastAsia="zh-CN"/>
        </w:rPr>
        <w:t>，改善交通拥堵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2、支持利用数字技术，打通出行各环节与出行目的地的数据，形成融合化出行</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新模式。</w:t>
      </w: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bidi="zh-CN"/>
        </w:rPr>
        <w:t>采用区块链技术探索碳普惠、出行生活圈等场景应用，打造市民出行新体验。</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00" w:lineRule="exact"/>
        <w:ind w:firstLine="652"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（四）商旅文体</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00" w:lineRule="exact"/>
        <w:ind w:firstLine="652"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1、运用数字技术，面向传统文化业态升级、数字文化内容供给体验、数字艺术品创作应用、全景旅游新空间构建、旅游体验多元融合、全媒体数字化、全民健身服务等，打造数字化创新体验产品和服务。</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00" w:lineRule="exact"/>
        <w:ind w:firstLine="652"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2、运用数字孪生、元宇宙、XR等技术，建设数字化商场、云专柜、云广告等数字商业空间，提升商业载体服务边界和购物体验度。</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00" w:lineRule="exact"/>
        <w:ind w:firstLine="652"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3、针对酒店、景区、文体场馆，覆盖创新服务、升级体验、高效管理、绿色低碳运行等各环节的全流程数字化标杆应用。聚焦商旅文体一体化，支持行业资源汇集、数据互联共享、服务创新联动的平台建设。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28"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（五）教育学习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28"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1、支持</w:t>
      </w:r>
      <w:r>
        <w:rPr>
          <w:rFonts w:hint="eastAsia" w:ascii="仿宋_GB2312" w:hAnsi="仿宋_GB2312" w:eastAsia="仿宋_GB2312" w:cs="仿宋_GB2312"/>
          <w:color w:val="auto"/>
          <w:kern w:val="2"/>
          <w:sz w:val="32"/>
          <w:szCs w:val="32"/>
          <w:lang w:val="en-US" w:eastAsia="zh-CN" w:bidi="ar-SA"/>
        </w:rPr>
        <w:t>开放共享、数据互通、技术集成、协同交互的基座型数字教育平台以及基于平台的各类数字化应用建设。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628"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2、支持具备沉浸式、交互性、智能化等特点的新型教育资源开发，以及基于学科知识图谱等的教育资源个性化应用。推进数据驱动的大规模因材施教、线上线下融合教学等数字化教育模式创新。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628"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3、支持具有即时互动、远程协同、自适应辅助、个性化指导、智能化评估等功能，且兼容性好、应用前景好的数字教育智能终端应用。</w:t>
      </w:r>
    </w:p>
    <w:p>
      <w:pPr>
        <w:keepNext w:val="0"/>
        <w:keepLines w:val="0"/>
        <w:pageBreakBefore w:val="0"/>
        <w:widowControl w:val="0"/>
        <w:kinsoku/>
        <w:wordWrap/>
        <w:overflowPunct/>
        <w:topLinePunct w:val="0"/>
        <w:autoSpaceDE/>
        <w:autoSpaceDN/>
        <w:bidi w:val="0"/>
        <w:spacing w:line="480" w:lineRule="exact"/>
        <w:ind w:firstLine="628"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）生态</w:t>
      </w:r>
      <w:r>
        <w:rPr>
          <w:rFonts w:hint="eastAsia" w:ascii="仿宋_GB2312" w:hAnsi="仿宋_GB2312" w:eastAsia="仿宋_GB2312" w:cs="仿宋_GB2312"/>
          <w:b/>
          <w:bCs/>
          <w:sz w:val="32"/>
          <w:szCs w:val="32"/>
          <w:lang w:eastAsia="zh-CN"/>
        </w:rPr>
        <w:t>环境</w:t>
      </w:r>
    </w:p>
    <w:p>
      <w:pPr>
        <w:keepNext w:val="0"/>
        <w:keepLines w:val="0"/>
        <w:pageBreakBefore w:val="0"/>
        <w:widowControl w:val="0"/>
        <w:kinsoku/>
        <w:wordWrap/>
        <w:overflowPunct/>
        <w:topLinePunct w:val="0"/>
        <w:autoSpaceDE/>
        <w:autoSpaceDN/>
        <w:bidi w:val="0"/>
        <w:spacing w:line="480" w:lineRule="exact"/>
        <w:ind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1、利用建筑信息模型等数字技术，实现建筑全生命周期管理，助力节能减碳。</w:t>
      </w:r>
    </w:p>
    <w:p>
      <w:pPr>
        <w:keepNext w:val="0"/>
        <w:keepLines w:val="0"/>
        <w:pageBreakBefore w:val="0"/>
        <w:widowControl w:val="0"/>
        <w:kinsoku/>
        <w:wordWrap/>
        <w:overflowPunct/>
        <w:topLinePunct w:val="0"/>
        <w:autoSpaceDE/>
        <w:autoSpaceDN/>
        <w:bidi w:val="0"/>
        <w:spacing w:line="480" w:lineRule="exact"/>
        <w:ind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2、提升环境状况综合研判、环境污染问题追因溯源、环境风险预测预警等领域的数字化能力。</w:t>
      </w:r>
    </w:p>
    <w:p>
      <w:pPr>
        <w:keepNext w:val="0"/>
        <w:keepLines w:val="0"/>
        <w:pageBreakBefore w:val="0"/>
        <w:widowControl w:val="0"/>
        <w:kinsoku/>
        <w:wordWrap/>
        <w:overflowPunct/>
        <w:topLinePunct w:val="0"/>
        <w:autoSpaceDE/>
        <w:autoSpaceDN/>
        <w:bidi w:val="0"/>
        <w:spacing w:line="480" w:lineRule="exact"/>
        <w:ind w:firstLine="628"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、利用卫星遥感</w:t>
      </w:r>
      <w:r>
        <w:rPr>
          <w:rFonts w:hint="eastAsia" w:ascii="仿宋_GB2312" w:hAnsi="仿宋_GB2312" w:eastAsia="仿宋_GB2312" w:cs="仿宋_GB2312"/>
          <w:sz w:val="32"/>
          <w:szCs w:val="32"/>
          <w:lang w:eastAsia="zh-CN"/>
        </w:rPr>
        <w:t>、空间建模</w:t>
      </w:r>
      <w:r>
        <w:rPr>
          <w:rFonts w:hint="eastAsia" w:ascii="仿宋_GB2312" w:hAnsi="仿宋_GB2312" w:eastAsia="仿宋_GB2312" w:cs="仿宋_GB2312"/>
          <w:sz w:val="32"/>
          <w:szCs w:val="32"/>
        </w:rPr>
        <w:t>等技术，开展自然资源和国土空间</w:t>
      </w:r>
      <w:r>
        <w:rPr>
          <w:rFonts w:hint="eastAsia" w:ascii="仿宋_GB2312" w:hAnsi="仿宋_GB2312" w:eastAsia="仿宋_GB2312" w:cs="仿宋_GB2312"/>
          <w:sz w:val="32"/>
          <w:szCs w:val="32"/>
          <w:lang w:eastAsia="zh-CN"/>
        </w:rPr>
        <w:t>高效集约</w:t>
      </w:r>
      <w:r>
        <w:rPr>
          <w:rFonts w:hint="eastAsia" w:ascii="仿宋_GB2312" w:hAnsi="仿宋_GB2312" w:eastAsia="仿宋_GB2312" w:cs="仿宋_GB2312"/>
          <w:sz w:val="32"/>
          <w:szCs w:val="32"/>
        </w:rPr>
        <w:t>开发利用的数字化应用示范。</w:t>
      </w:r>
    </w:p>
    <w:p>
      <w:pPr>
        <w:keepNext w:val="0"/>
        <w:keepLines w:val="0"/>
        <w:pageBreakBefore w:val="0"/>
        <w:widowControl w:val="0"/>
        <w:kinsoku/>
        <w:wordWrap/>
        <w:overflowPunct/>
        <w:topLinePunct w:val="0"/>
        <w:autoSpaceDE/>
        <w:autoSpaceDN/>
        <w:bidi w:val="0"/>
        <w:adjustRightInd w:val="0"/>
        <w:snapToGrid w:val="0"/>
        <w:spacing w:line="480" w:lineRule="exact"/>
        <w:ind w:firstLine="628"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二、数据要素市场培育</w:t>
      </w:r>
    </w:p>
    <w:p>
      <w:pPr>
        <w:pStyle w:val="10"/>
        <w:keepNext w:val="0"/>
        <w:keepLines w:val="0"/>
        <w:pageBreakBefore w:val="0"/>
        <w:widowControl w:val="0"/>
        <w:numPr>
          <w:ilvl w:val="0"/>
          <w:numId w:val="0"/>
        </w:numPr>
        <w:kinsoku/>
        <w:wordWrap/>
        <w:overflowPunct/>
        <w:topLinePunct w:val="0"/>
        <w:autoSpaceDE/>
        <w:autoSpaceDN/>
        <w:bidi w:val="0"/>
        <w:spacing w:line="480" w:lineRule="exact"/>
        <w:ind w:firstLine="65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（七）数据要素基础制度支撑平台和试点</w:t>
      </w:r>
    </w:p>
    <w:p>
      <w:pPr>
        <w:pStyle w:val="10"/>
        <w:keepNext w:val="0"/>
        <w:keepLines w:val="0"/>
        <w:pageBreakBefore w:val="0"/>
        <w:widowControl w:val="0"/>
        <w:numPr>
          <w:ilvl w:val="0"/>
          <w:numId w:val="0"/>
        </w:numPr>
        <w:kinsoku/>
        <w:wordWrap/>
        <w:overflowPunct/>
        <w:topLinePunct w:val="0"/>
        <w:autoSpaceDE/>
        <w:autoSpaceDN/>
        <w:bidi w:val="0"/>
        <w:spacing w:line="480" w:lineRule="exact"/>
        <w:ind w:firstLine="65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1、支持面向数据确权授权，以及数据合规与监管服务的相关技术和平台建设与试点，提升数据相关权益的确认、行使、保护与监管水平。</w:t>
      </w:r>
    </w:p>
    <w:p>
      <w:pPr>
        <w:pStyle w:val="10"/>
        <w:keepNext w:val="0"/>
        <w:keepLines w:val="0"/>
        <w:pageBreakBefore w:val="0"/>
        <w:widowControl w:val="0"/>
        <w:numPr>
          <w:ilvl w:val="0"/>
          <w:numId w:val="0"/>
        </w:numPr>
        <w:kinsoku/>
        <w:wordWrap/>
        <w:overflowPunct/>
        <w:topLinePunct w:val="0"/>
        <w:autoSpaceDE/>
        <w:autoSpaceDN/>
        <w:bidi w:val="0"/>
        <w:spacing w:line="480" w:lineRule="exact"/>
        <w:ind w:firstLine="65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2、支持面向数据价值收益分享、数据资产入表等机制的相关技术、工具和平台建设，探索数据要素由市场评价贡献、按贡献决定报酬机制，推动数据资产入表等会计处理试点。</w:t>
      </w:r>
    </w:p>
    <w:p>
      <w:pPr>
        <w:pStyle w:val="10"/>
        <w:keepNext w:val="0"/>
        <w:keepLines w:val="0"/>
        <w:pageBreakBefore w:val="0"/>
        <w:widowControl w:val="0"/>
        <w:numPr>
          <w:ilvl w:val="0"/>
          <w:numId w:val="0"/>
        </w:numPr>
        <w:kinsoku/>
        <w:wordWrap/>
        <w:overflowPunct/>
        <w:topLinePunct w:val="0"/>
        <w:autoSpaceDE/>
        <w:autoSpaceDN/>
        <w:bidi w:val="0"/>
        <w:spacing w:line="480" w:lineRule="exact"/>
        <w:ind w:firstLine="65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（八）数据要素关键技术突破</w:t>
      </w:r>
    </w:p>
    <w:p>
      <w:pPr>
        <w:pStyle w:val="10"/>
        <w:keepNext w:val="0"/>
        <w:keepLines w:val="0"/>
        <w:pageBreakBefore w:val="0"/>
        <w:widowControl w:val="0"/>
        <w:numPr>
          <w:ilvl w:val="0"/>
          <w:numId w:val="0"/>
        </w:numPr>
        <w:kinsoku/>
        <w:wordWrap/>
        <w:overflowPunct/>
        <w:topLinePunct w:val="0"/>
        <w:autoSpaceDE/>
        <w:autoSpaceDN/>
        <w:bidi w:val="0"/>
        <w:spacing w:line="480" w:lineRule="exact"/>
        <w:ind w:firstLine="65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1、支持面向</w:t>
      </w:r>
      <w:r>
        <w:rPr>
          <w:rFonts w:hint="eastAsia" w:ascii="仿宋_GB2312" w:hAnsi="仿宋_GB2312" w:eastAsia="仿宋_GB2312" w:cs="仿宋_GB2312"/>
          <w:color w:val="auto"/>
          <w:sz w:val="32"/>
          <w:szCs w:val="32"/>
        </w:rPr>
        <w:t>数据编织、可信数据计算、</w:t>
      </w:r>
      <w:r>
        <w:rPr>
          <w:rFonts w:hint="eastAsia" w:ascii="仿宋_GB2312" w:hAnsi="仿宋_GB2312" w:eastAsia="仿宋_GB2312" w:cs="仿宋_GB2312"/>
          <w:color w:val="auto"/>
          <w:sz w:val="32"/>
          <w:szCs w:val="32"/>
          <w:lang w:val="en-US" w:eastAsia="zh-CN"/>
        </w:rPr>
        <w:t>数链融合、</w:t>
      </w:r>
      <w:r>
        <w:rPr>
          <w:rFonts w:hint="eastAsia" w:ascii="仿宋_GB2312" w:hAnsi="仿宋_GB2312" w:eastAsia="仿宋_GB2312" w:cs="仿宋_GB2312"/>
          <w:color w:val="auto"/>
          <w:sz w:val="32"/>
          <w:szCs w:val="32"/>
        </w:rPr>
        <w:t>新型语义网络构建</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共性关键技术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开展研究和产业化应用。</w:t>
      </w:r>
    </w:p>
    <w:p>
      <w:pPr>
        <w:pStyle w:val="10"/>
        <w:keepNext w:val="0"/>
        <w:keepLines w:val="0"/>
        <w:pageBreakBefore w:val="0"/>
        <w:widowControl w:val="0"/>
        <w:numPr>
          <w:ilvl w:val="0"/>
          <w:numId w:val="0"/>
        </w:numPr>
        <w:kinsoku/>
        <w:wordWrap/>
        <w:overflowPunct/>
        <w:topLinePunct w:val="0"/>
        <w:autoSpaceDE/>
        <w:autoSpaceDN/>
        <w:bidi w:val="0"/>
        <w:spacing w:line="480" w:lineRule="exact"/>
        <w:ind w:firstLine="65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2、支持面向大模型的智能计算、数据标注、提示工程等技术突破和产业化应用。</w:t>
      </w:r>
    </w:p>
    <w:p>
      <w:pPr>
        <w:pStyle w:val="10"/>
        <w:keepNext w:val="0"/>
        <w:keepLines w:val="0"/>
        <w:pageBreakBefore w:val="0"/>
        <w:widowControl w:val="0"/>
        <w:numPr>
          <w:ilvl w:val="0"/>
          <w:numId w:val="0"/>
        </w:numPr>
        <w:kinsoku/>
        <w:wordWrap/>
        <w:overflowPunct/>
        <w:topLinePunct w:val="0"/>
        <w:autoSpaceDE/>
        <w:autoSpaceDN/>
        <w:bidi w:val="0"/>
        <w:spacing w:line="500" w:lineRule="exact"/>
        <w:ind w:firstLine="652"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pacing w:val="-6"/>
          <w:sz w:val="32"/>
          <w:szCs w:val="32"/>
          <w:lang w:val="en-US" w:eastAsia="zh-CN"/>
        </w:rPr>
        <w:t>支持面向人工智能大模型的语料数据库和开源平台建设</w:t>
      </w:r>
      <w:r>
        <w:rPr>
          <w:rFonts w:hint="eastAsia" w:ascii="仿宋_GB2312" w:hAnsi="仿宋_GB2312" w:eastAsia="仿宋_GB2312" w:cs="仿宋_GB2312"/>
          <w:bCs w:val="0"/>
          <w:color w:val="auto"/>
          <w:spacing w:val="-6"/>
          <w:sz w:val="32"/>
          <w:szCs w:val="32"/>
          <w:lang w:eastAsia="zh-CN"/>
        </w:rPr>
        <w:t>。</w:t>
      </w:r>
    </w:p>
    <w:p>
      <w:pPr>
        <w:pStyle w:val="10"/>
        <w:keepNext w:val="0"/>
        <w:keepLines w:val="0"/>
        <w:pageBreakBefore w:val="0"/>
        <w:widowControl w:val="0"/>
        <w:numPr>
          <w:ilvl w:val="0"/>
          <w:numId w:val="0"/>
        </w:numPr>
        <w:kinsoku/>
        <w:wordWrap/>
        <w:overflowPunct/>
        <w:topLinePunct w:val="0"/>
        <w:autoSpaceDE/>
        <w:autoSpaceDN/>
        <w:bidi w:val="0"/>
        <w:spacing w:line="500" w:lineRule="exact"/>
        <w:ind w:firstLine="65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（九）数据枢纽和平台建设</w:t>
      </w:r>
    </w:p>
    <w:p>
      <w:pPr>
        <w:pStyle w:val="10"/>
        <w:keepNext w:val="0"/>
        <w:keepLines w:val="0"/>
        <w:pageBreakBefore w:val="0"/>
        <w:widowControl w:val="0"/>
        <w:numPr>
          <w:ilvl w:val="0"/>
          <w:numId w:val="0"/>
        </w:numPr>
        <w:kinsoku/>
        <w:wordWrap/>
        <w:overflowPunct/>
        <w:topLinePunct w:val="0"/>
        <w:autoSpaceDE/>
        <w:autoSpaceDN/>
        <w:bidi w:val="0"/>
        <w:spacing w:line="500" w:lineRule="exact"/>
        <w:ind w:firstLine="652"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pacing w:val="-6"/>
          <w:sz w:val="32"/>
          <w:szCs w:val="32"/>
          <w:lang w:val="en-US" w:eastAsia="zh-CN"/>
        </w:rPr>
        <w:t>支持金融、商务、制造、交通航运、医疗健康、文化体育等行业数据枢纽建设，建设数据、知识、算法“三位一体”布局的产业数据枢纽节点，面向行业提供品牌化数据产品和服务。</w:t>
      </w:r>
    </w:p>
    <w:p>
      <w:pPr>
        <w:pStyle w:val="10"/>
        <w:keepNext w:val="0"/>
        <w:keepLines w:val="0"/>
        <w:pageBreakBefore w:val="0"/>
        <w:widowControl w:val="0"/>
        <w:numPr>
          <w:ilvl w:val="0"/>
          <w:numId w:val="0"/>
        </w:numPr>
        <w:kinsoku/>
        <w:wordWrap/>
        <w:overflowPunct/>
        <w:topLinePunct w:val="0"/>
        <w:autoSpaceDE/>
        <w:autoSpaceDN/>
        <w:bidi w:val="0"/>
        <w:spacing w:line="500" w:lineRule="exact"/>
        <w:ind w:firstLine="65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2、支持口岸、科创</w:t>
      </w:r>
      <w:r>
        <w:rPr>
          <w:rFonts w:hint="eastAsia" w:ascii="仿宋_GB2312" w:hAnsi="仿宋_GB2312" w:eastAsia="仿宋_GB2312" w:cs="仿宋_GB2312"/>
          <w:color w:val="auto"/>
          <w:sz w:val="32"/>
          <w:szCs w:val="32"/>
        </w:rPr>
        <w:t>、绿色低碳、</w:t>
      </w:r>
      <w:r>
        <w:rPr>
          <w:rFonts w:hint="eastAsia" w:ascii="仿宋_GB2312" w:hAnsi="仿宋_GB2312" w:eastAsia="仿宋_GB2312" w:cs="仿宋_GB2312"/>
          <w:color w:val="auto"/>
          <w:sz w:val="32"/>
          <w:szCs w:val="32"/>
          <w:lang w:val="en-US" w:eastAsia="zh-CN"/>
        </w:rPr>
        <w:t>新能源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数字化转型标准</w:t>
      </w:r>
      <w:r>
        <w:rPr>
          <w:rFonts w:hint="eastAsia" w:ascii="仿宋_GB2312" w:hAnsi="仿宋_GB2312" w:eastAsia="仿宋_GB2312" w:cs="仿宋_GB2312"/>
          <w:color w:val="auto"/>
          <w:sz w:val="32"/>
          <w:szCs w:val="32"/>
        </w:rPr>
        <w:t>等领域</w:t>
      </w:r>
      <w:r>
        <w:rPr>
          <w:rFonts w:hint="eastAsia" w:ascii="仿宋_GB2312" w:hAnsi="仿宋_GB2312" w:eastAsia="仿宋_GB2312" w:cs="仿宋_GB2312"/>
          <w:b w:val="0"/>
          <w:bCs w:val="0"/>
          <w:color w:val="auto"/>
          <w:sz w:val="32"/>
          <w:szCs w:val="32"/>
        </w:rPr>
        <w:t>特色数据空间</w:t>
      </w:r>
      <w:r>
        <w:rPr>
          <w:rFonts w:hint="eastAsia" w:ascii="仿宋_GB2312" w:hAnsi="仿宋_GB2312" w:eastAsia="仿宋_GB2312" w:cs="仿宋_GB2312"/>
          <w:b w:val="0"/>
          <w:bCs w:val="0"/>
          <w:color w:val="auto"/>
          <w:sz w:val="32"/>
          <w:szCs w:val="32"/>
          <w:lang w:val="en-US" w:eastAsia="zh-CN"/>
        </w:rPr>
        <w:t>建设</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打造以创新场景为核心，提供数据链接、供给知识融合、多元配置与服务的创新数据空间</w:t>
      </w:r>
      <w:r>
        <w:rPr>
          <w:rFonts w:hint="eastAsia" w:ascii="仿宋_GB2312" w:hAnsi="仿宋_GB2312" w:eastAsia="仿宋_GB2312" w:cs="仿宋_GB2312"/>
          <w:color w:val="auto"/>
          <w:sz w:val="32"/>
          <w:szCs w:val="32"/>
          <w:lang w:eastAsia="zh-CN"/>
        </w:rPr>
        <w:t>。</w:t>
      </w:r>
    </w:p>
    <w:p>
      <w:pPr>
        <w:pStyle w:val="10"/>
        <w:keepNext w:val="0"/>
        <w:keepLines w:val="0"/>
        <w:pageBreakBefore w:val="0"/>
        <w:widowControl w:val="0"/>
        <w:numPr>
          <w:ilvl w:val="0"/>
          <w:numId w:val="0"/>
        </w:numPr>
        <w:kinsoku/>
        <w:wordWrap/>
        <w:overflowPunct/>
        <w:topLinePunct w:val="0"/>
        <w:autoSpaceDE/>
        <w:autoSpaceDN/>
        <w:bidi w:val="0"/>
        <w:spacing w:line="500" w:lineRule="exact"/>
        <w:ind w:firstLine="65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（十）数据应用场景创新示范</w:t>
      </w:r>
    </w:p>
    <w:p>
      <w:pPr>
        <w:pStyle w:val="10"/>
        <w:keepNext w:val="0"/>
        <w:keepLines w:val="0"/>
        <w:pageBreakBefore w:val="0"/>
        <w:widowControl w:val="0"/>
        <w:numPr>
          <w:ilvl w:val="0"/>
          <w:numId w:val="0"/>
        </w:numPr>
        <w:kinsoku/>
        <w:wordWrap/>
        <w:overflowPunct/>
        <w:topLinePunct w:val="0"/>
        <w:autoSpaceDE/>
        <w:autoSpaceDN/>
        <w:bidi w:val="0"/>
        <w:spacing w:line="500" w:lineRule="exact"/>
        <w:ind w:firstLine="65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1、支持面向公共数据开放的创新示范，聚焦供应链、普惠金融、文化旅游、社会信用等领域，开展公共数据开放和开发利用试点项目建设。</w:t>
      </w:r>
    </w:p>
    <w:p>
      <w:pPr>
        <w:pStyle w:val="10"/>
        <w:keepNext w:val="0"/>
        <w:keepLines w:val="0"/>
        <w:pageBreakBefore w:val="0"/>
        <w:widowControl w:val="0"/>
        <w:numPr>
          <w:ilvl w:val="0"/>
          <w:numId w:val="0"/>
        </w:numPr>
        <w:kinsoku/>
        <w:wordWrap/>
        <w:overflowPunct/>
        <w:topLinePunct w:val="0"/>
        <w:autoSpaceDE/>
        <w:autoSpaceDN/>
        <w:bidi w:val="0"/>
        <w:spacing w:line="500" w:lineRule="exact"/>
        <w:ind w:firstLine="65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2、支持纳入工信部大数据产业发展试点示范、大数据联合创新实验室以及中小企业数据产品和服务创新等项目。</w:t>
      </w:r>
    </w:p>
    <w:p>
      <w:pPr>
        <w:pStyle w:val="10"/>
        <w:keepNext w:val="0"/>
        <w:keepLines w:val="0"/>
        <w:pageBreakBefore w:val="0"/>
        <w:widowControl w:val="0"/>
        <w:numPr>
          <w:ilvl w:val="0"/>
          <w:numId w:val="0"/>
        </w:numPr>
        <w:kinsoku/>
        <w:wordWrap/>
        <w:overflowPunct/>
        <w:topLinePunct w:val="0"/>
        <w:autoSpaceDE/>
        <w:autoSpaceDN/>
        <w:bidi w:val="0"/>
        <w:spacing w:line="500" w:lineRule="exact"/>
        <w:ind w:firstLine="652" w:firstLineChars="200"/>
        <w:textAlignment w:val="auto"/>
        <w:rPr>
          <w:rFonts w:hint="eastAsia" w:ascii="仿宋_GB2312" w:hAnsi="仿宋_GB2312" w:eastAsia="仿宋_GB2312" w:cs="仿宋_GB2312"/>
          <w:color w:val="auto"/>
          <w:kern w:val="2"/>
          <w:sz w:val="32"/>
          <w:szCs w:val="32"/>
          <w:highlight w:val="yellow"/>
          <w:lang w:val="en-US" w:eastAsia="zh-CN" w:bidi="ar-SA"/>
        </w:rPr>
      </w:pPr>
      <w:r>
        <w:rPr>
          <w:rFonts w:hint="eastAsia" w:ascii="仿宋_GB2312" w:hAnsi="仿宋_GB2312" w:eastAsia="仿宋_GB2312" w:cs="仿宋_GB2312"/>
          <w:color w:val="auto"/>
          <w:sz w:val="32"/>
          <w:szCs w:val="32"/>
          <w:lang w:val="en-US" w:eastAsia="zh-CN"/>
        </w:rPr>
        <w:t>3、支持</w:t>
      </w:r>
      <w:r>
        <w:rPr>
          <w:rFonts w:hint="eastAsia" w:ascii="仿宋_GB2312" w:hAnsi="仿宋_GB2312" w:eastAsia="仿宋_GB2312" w:cs="仿宋_GB2312"/>
          <w:color w:val="auto"/>
          <w:sz w:val="32"/>
          <w:szCs w:val="32"/>
          <w:highlight w:val="none"/>
        </w:rPr>
        <w:t>对标DEPA</w:t>
      </w:r>
      <w:r>
        <w:rPr>
          <w:rFonts w:hint="eastAsia" w:ascii="仿宋_GB2312" w:hAnsi="仿宋_GB2312" w:eastAsia="仿宋_GB2312" w:cs="仿宋_GB2312"/>
          <w:color w:val="auto"/>
          <w:sz w:val="32"/>
          <w:szCs w:val="32"/>
          <w:highlight w:val="none"/>
          <w:lang w:val="en-US" w:eastAsia="zh-CN"/>
        </w:rPr>
        <w:t>等国际规则</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rPr>
        <w:t>“五个中心”和经济发展关键领域</w:t>
      </w:r>
      <w:r>
        <w:rPr>
          <w:rFonts w:hint="eastAsia" w:ascii="仿宋_GB2312" w:hAnsi="仿宋_GB2312" w:eastAsia="仿宋_GB2312" w:cs="仿宋_GB2312"/>
          <w:color w:val="auto"/>
          <w:sz w:val="32"/>
          <w:szCs w:val="32"/>
          <w:highlight w:val="none"/>
          <w:lang w:val="en-US" w:eastAsia="zh-CN"/>
        </w:rPr>
        <w:t>的国际数据合作场景及相关平台设施建设。</w:t>
      </w:r>
    </w:p>
    <w:p>
      <w:pPr>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三、区域转型发展</w:t>
      </w:r>
    </w:p>
    <w:p>
      <w:pPr>
        <w:keepNext w:val="0"/>
        <w:keepLines w:val="0"/>
        <w:pageBreakBefore w:val="0"/>
        <w:widowControl w:val="0"/>
        <w:kinsoku/>
        <w:wordWrap/>
        <w:overflowPunct/>
        <w:topLinePunct w:val="0"/>
        <w:autoSpaceDE/>
        <w:autoSpaceDN/>
        <w:bidi w:val="0"/>
        <w:spacing w:line="500" w:lineRule="exact"/>
        <w:ind w:firstLine="628"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（十一）区域示范</w:t>
      </w:r>
    </w:p>
    <w:p>
      <w:pPr>
        <w:keepNext w:val="0"/>
        <w:keepLines w:val="0"/>
        <w:pageBreakBefore w:val="0"/>
        <w:widowControl w:val="0"/>
        <w:kinsoku/>
        <w:wordWrap/>
        <w:overflowPunct/>
        <w:topLinePunct w:val="0"/>
        <w:autoSpaceDE/>
        <w:autoSpaceDN/>
        <w:bidi w:val="0"/>
        <w:spacing w:line="500" w:lineRule="exact"/>
        <w:ind w:firstLine="628"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1、集成生活、经济、治理等多维度数字化应用，促进数字技术赋能区域的管理、运行、服务等方面，综合运用各类数字技术，打造协同联动的跨区域数字化转型超级场景。</w:t>
      </w:r>
    </w:p>
    <w:p>
      <w:pPr>
        <w:keepNext w:val="0"/>
        <w:keepLines w:val="0"/>
        <w:pageBreakBefore w:val="0"/>
        <w:widowControl w:val="0"/>
        <w:kinsoku/>
        <w:wordWrap/>
        <w:overflowPunct/>
        <w:topLinePunct w:val="0"/>
        <w:autoSpaceDE/>
        <w:autoSpaceDN/>
        <w:bidi w:val="0"/>
        <w:spacing w:line="500" w:lineRule="exact"/>
        <w:ind w:firstLine="628"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2、面向城市数字化转型市级示范区，建设产业赋能、数字孪生等公共服务平台，或者提供共性算法、数字工具等基础支撑的平台，建设区域转型示范场景，形成可复制推广的区域转型模式。</w:t>
      </w:r>
    </w:p>
    <w:p>
      <w:pPr>
        <w:keepNext w:val="0"/>
        <w:keepLines w:val="0"/>
        <w:pageBreakBefore w:val="0"/>
        <w:widowControl w:val="0"/>
        <w:kinsoku/>
        <w:wordWrap/>
        <w:overflowPunct/>
        <w:topLinePunct w:val="0"/>
        <w:autoSpaceDE/>
        <w:autoSpaceDN/>
        <w:bidi w:val="0"/>
        <w:spacing w:line="500" w:lineRule="exact"/>
        <w:ind w:firstLine="628"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3、推动数字底座、物联感知、数字孪生等技术在园区、社区的赋能应用，支持构建园区、社区数字赋能平台，打造数字园区、数字家园标杆示范。</w:t>
      </w:r>
    </w:p>
    <w:p>
      <w:pPr>
        <w:pStyle w:val="2"/>
        <w:keepNext w:val="0"/>
        <w:keepLines w:val="0"/>
        <w:pageBreakBefore w:val="0"/>
        <w:widowControl w:val="0"/>
        <w:numPr>
          <w:ilvl w:val="0"/>
          <w:numId w:val="0"/>
        </w:numPr>
        <w:kinsoku/>
        <w:wordWrap/>
        <w:overflowPunct/>
        <w:topLinePunct w:val="0"/>
        <w:autoSpaceDE/>
        <w:autoSpaceDN/>
        <w:bidi w:val="0"/>
        <w:spacing w:after="0" w:line="500" w:lineRule="exact"/>
        <w:ind w:firstLine="652"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四、数字化生态营造</w:t>
      </w:r>
    </w:p>
    <w:p>
      <w:pPr>
        <w:pStyle w:val="2"/>
        <w:keepNext w:val="0"/>
        <w:keepLines w:val="0"/>
        <w:pageBreakBefore w:val="0"/>
        <w:widowControl w:val="0"/>
        <w:numPr>
          <w:ilvl w:val="0"/>
          <w:numId w:val="0"/>
        </w:numPr>
        <w:kinsoku/>
        <w:wordWrap/>
        <w:overflowPunct/>
        <w:topLinePunct w:val="0"/>
        <w:autoSpaceDE/>
        <w:autoSpaceDN/>
        <w:bidi w:val="0"/>
        <w:spacing w:after="0" w:line="500" w:lineRule="exact"/>
        <w:ind w:firstLine="652"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（十二）生态创新</w:t>
      </w:r>
    </w:p>
    <w:p>
      <w:pPr>
        <w:pStyle w:val="2"/>
        <w:keepNext w:val="0"/>
        <w:keepLines w:val="0"/>
        <w:pageBreakBefore w:val="0"/>
        <w:widowControl w:val="0"/>
        <w:numPr>
          <w:ilvl w:val="0"/>
          <w:numId w:val="0"/>
        </w:numPr>
        <w:kinsoku/>
        <w:wordWrap/>
        <w:overflowPunct/>
        <w:topLinePunct w:val="0"/>
        <w:autoSpaceDE/>
        <w:autoSpaceDN/>
        <w:bidi w:val="0"/>
        <w:spacing w:after="0" w:line="500" w:lineRule="exact"/>
        <w:ind w:firstLine="652"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lang w:val="en-US" w:eastAsia="zh-CN" w:bidi="ar-SA"/>
        </w:rPr>
        <w:t>1、围绕战略性</w:t>
      </w:r>
      <w:r>
        <w:rPr>
          <w:rFonts w:hint="eastAsia" w:ascii="仿宋_GB2312" w:hAnsi="仿宋_GB2312" w:eastAsia="仿宋_GB2312" w:cs="仿宋_GB2312"/>
          <w:color w:val="auto"/>
          <w:kern w:val="2"/>
          <w:sz w:val="32"/>
          <w:szCs w:val="32"/>
          <w:highlight w:val="none"/>
          <w:lang w:val="en-US" w:eastAsia="zh-CN" w:bidi="ar-SA"/>
        </w:rPr>
        <w:t>数字技术前瞻布局，开展试验性场景规划建设与联合创新。</w:t>
      </w:r>
    </w:p>
    <w:p>
      <w:pPr>
        <w:pStyle w:val="2"/>
        <w:keepNext w:val="0"/>
        <w:keepLines w:val="0"/>
        <w:pageBreakBefore w:val="0"/>
        <w:widowControl w:val="0"/>
        <w:numPr>
          <w:ilvl w:val="0"/>
          <w:numId w:val="0"/>
        </w:numPr>
        <w:kinsoku/>
        <w:wordWrap/>
        <w:overflowPunct/>
        <w:topLinePunct w:val="0"/>
        <w:autoSpaceDE/>
        <w:autoSpaceDN/>
        <w:bidi w:val="0"/>
        <w:spacing w:after="0" w:line="500" w:lineRule="exact"/>
        <w:ind w:firstLine="652"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lang w:val="en-US" w:eastAsia="zh-CN" w:bidi="ar-SA"/>
        </w:rPr>
        <w:t>围绕城市数字底座技术创新应用，打造集合产学研用等功能的共性技术和工具支撑平台。</w:t>
      </w:r>
    </w:p>
    <w:p>
      <w:pPr>
        <w:pStyle w:val="2"/>
        <w:keepNext w:val="0"/>
        <w:keepLines w:val="0"/>
        <w:pageBreakBefore w:val="0"/>
        <w:widowControl w:val="0"/>
        <w:numPr>
          <w:ilvl w:val="0"/>
          <w:numId w:val="0"/>
        </w:numPr>
        <w:kinsoku/>
        <w:wordWrap/>
        <w:overflowPunct/>
        <w:topLinePunct w:val="0"/>
        <w:autoSpaceDE/>
        <w:autoSpaceDN/>
        <w:bidi w:val="0"/>
        <w:spacing w:after="0" w:line="500" w:lineRule="exact"/>
        <w:ind w:firstLine="652"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围绕场景生态链建设，打造提供行业共创、数据共享等服务的行业性公共平台。</w:t>
      </w:r>
    </w:p>
    <w:p>
      <w:pPr>
        <w:pStyle w:val="2"/>
        <w:keepNext w:val="0"/>
        <w:keepLines w:val="0"/>
        <w:pageBreakBefore w:val="0"/>
        <w:widowControl w:val="0"/>
        <w:numPr>
          <w:ilvl w:val="0"/>
          <w:numId w:val="0"/>
        </w:numPr>
        <w:kinsoku/>
        <w:wordWrap/>
        <w:overflowPunct/>
        <w:topLinePunct w:val="0"/>
        <w:autoSpaceDE/>
        <w:autoSpaceDN/>
        <w:bidi w:val="0"/>
        <w:spacing w:after="0" w:line="500" w:lineRule="exact"/>
        <w:ind w:firstLine="652"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lang w:val="en-US" w:eastAsia="zh-CN" w:bidi="ar-SA"/>
        </w:rPr>
        <w:t>4、围绕数字化生态共创，打造提供研发试验、创业孵化、金融服务、展示路演、公众体验等服务的功能型平台。</w:t>
      </w:r>
    </w:p>
    <w:p>
      <w:pPr>
        <w:pStyle w:val="2"/>
        <w:rPr>
          <w:rFonts w:ascii="方正小标宋简体" w:hAnsi="方正小标宋简体" w:eastAsia="方正小标宋简体"/>
          <w:szCs w:val="32"/>
        </w:rPr>
      </w:pPr>
    </w:p>
    <w:p>
      <w:pPr>
        <w:pStyle w:val="3"/>
        <w:rPr>
          <w:rFonts w:ascii="方正小标宋简体" w:hAnsi="方正小标宋简体" w:eastAsia="方正小标宋简体"/>
          <w:szCs w:val="32"/>
        </w:rPr>
      </w:pPr>
    </w:p>
    <w:p>
      <w:pPr>
        <w:rPr>
          <w:rFonts w:ascii="方正小标宋简体" w:hAnsi="方正小标宋简体" w:eastAsia="方正小标宋简体"/>
          <w:szCs w:val="32"/>
        </w:rPr>
      </w:pPr>
    </w:p>
    <w:p>
      <w:pPr>
        <w:pStyle w:val="2"/>
        <w:rPr>
          <w:rFonts w:ascii="方正小标宋简体" w:hAnsi="方正小标宋简体" w:eastAsia="方正小标宋简体"/>
          <w:szCs w:val="32"/>
        </w:rPr>
      </w:pPr>
    </w:p>
    <w:p>
      <w:pPr>
        <w:pStyle w:val="3"/>
        <w:rPr>
          <w:rFonts w:ascii="方正小标宋简体" w:hAnsi="方正小标宋简体" w:eastAsia="方正小标宋简体"/>
          <w:szCs w:val="32"/>
        </w:rPr>
      </w:pPr>
    </w:p>
    <w:p>
      <w:pPr>
        <w:keepNext w:val="0"/>
        <w:keepLines w:val="0"/>
        <w:pageBreakBefore w:val="0"/>
        <w:widowControl w:val="0"/>
        <w:numPr>
          <w:ilvl w:val="0"/>
          <w:numId w:val="0"/>
        </w:numPr>
        <w:kinsoku/>
        <w:wordWrap/>
        <w:overflowPunct/>
        <w:topLinePunct w:val="0"/>
        <w:autoSpaceDE/>
        <w:autoSpaceDN w:val="0"/>
        <w:bidi w:val="0"/>
        <w:adjustRightInd w:val="0"/>
        <w:snapToGrid/>
        <w:spacing w:before="0" w:beforeLines="0" w:after="0" w:afterLines="0" w:line="240" w:lineRule="auto"/>
        <w:ind w:right="0" w:rightChars="0"/>
        <w:jc w:val="left"/>
        <w:textAlignment w:val="auto"/>
        <w:outlineLvl w:val="9"/>
        <w:rPr>
          <w:rFonts w:hint="eastAsia" w:ascii="仿宋_GB2312" w:hAnsi="仿宋_GB2312" w:eastAsia="仿宋_GB2312" w:cs="仿宋_GB2312"/>
          <w:position w:val="-46"/>
          <w:lang w:eastAsia="zh-CN"/>
        </w:rPr>
      </w:pPr>
    </w:p>
    <w:p>
      <w:pPr>
        <w:autoSpaceDN w:val="0"/>
        <w:adjustRightInd w:val="0"/>
        <w:spacing w:line="240" w:lineRule="auto"/>
        <w:jc w:val="left"/>
        <w:rPr>
          <w:rFonts w:hint="eastAsia" w:ascii="仿宋_GB2312" w:hAnsi="仿宋_GB2312" w:cs="仿宋_GB2312"/>
          <w:position w:val="-46"/>
        </w:rPr>
      </w:pPr>
    </w:p>
    <w:p/>
    <w:sectPr>
      <w:headerReference r:id="rId5" w:type="first"/>
      <w:footerReference r:id="rId8" w:type="first"/>
      <w:footerReference r:id="rId6" w:type="default"/>
      <w:footerReference r:id="rId7" w:type="even"/>
      <w:pgSz w:w="11906" w:h="16838"/>
      <w:pgMar w:top="1967" w:right="1474" w:bottom="1899" w:left="1588" w:header="851" w:footer="1049" w:gutter="0"/>
      <w:cols w:space="720" w:num="1"/>
      <w:rtlGutter w:val="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00"/>
    <w:family w:val="modern"/>
    <w:pitch w:val="default"/>
    <w:sig w:usb0="00000000" w:usb1="00000000" w:usb2="00000000" w:usb3="00000000" w:csb0="00040000" w:csb1="00000000"/>
  </w:font>
  <w:font w:name="仿宋体">
    <w:altName w:val="方正仿宋_GBK"/>
    <w:panose1 w:val="00000000000000000000"/>
    <w:charset w:val="00"/>
    <w:family w:val="roman"/>
    <w:pitch w:val="default"/>
    <w:sig w:usb0="00000000" w:usb1="00000000" w:usb2="00000000"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方正小标宋简体">
    <w:altName w:val="汉仪书宋二KW"/>
    <w:panose1 w:val="03000509000000000000"/>
    <w:charset w:val="00"/>
    <w:family w:val="script"/>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苹方-简">
    <w:panose1 w:val="020B04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afterLines="220" w:line="432" w:lineRule="auto"/>
      <w:ind w:left="308" w:leftChars="100"/>
      <w:rPr>
        <w:rFonts w:hint="eastAsia" w:ascii="仿宋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hint="eastAsia" w:ascii="宋体" w:eastAsia="宋体"/>
                              <w:sz w:val="28"/>
                              <w:szCs w:val="28"/>
                              <w:lang w:eastAsia="zh-CN"/>
                            </w:rPr>
                          </w:pPr>
                          <w:r>
                            <w:rPr>
                              <w:rFonts w:hint="eastAsia" w:ascii="宋体" w:eastAsia="宋体"/>
                              <w:sz w:val="28"/>
                              <w:szCs w:val="28"/>
                              <w:lang w:eastAsia="zh-CN"/>
                            </w:rPr>
                            <w:t xml:space="preserve">— </w:t>
                          </w:r>
                          <w:r>
                            <w:rPr>
                              <w:rFonts w:hint="eastAsia" w:ascii="宋体" w:eastAsia="宋体"/>
                              <w:sz w:val="28"/>
                              <w:szCs w:val="28"/>
                              <w:lang w:eastAsia="zh-CN"/>
                            </w:rPr>
                            <w:fldChar w:fldCharType="begin"/>
                          </w:r>
                          <w:r>
                            <w:rPr>
                              <w:rFonts w:hint="eastAsia" w:ascii="宋体" w:eastAsia="宋体"/>
                              <w:sz w:val="28"/>
                              <w:szCs w:val="28"/>
                              <w:lang w:eastAsia="zh-CN"/>
                            </w:rPr>
                            <w:instrText xml:space="preserve"> PAGE  \* MERGEFORMAT </w:instrText>
                          </w:r>
                          <w:r>
                            <w:rPr>
                              <w:rFonts w:hint="eastAsia" w:ascii="宋体" w:eastAsia="宋体"/>
                              <w:sz w:val="28"/>
                              <w:szCs w:val="28"/>
                              <w:lang w:eastAsia="zh-CN"/>
                            </w:rPr>
                            <w:fldChar w:fldCharType="separate"/>
                          </w:r>
                          <w:r>
                            <w:rPr>
                              <w:rFonts w:hint="eastAsia" w:ascii="宋体" w:eastAsia="宋体"/>
                              <w:sz w:val="28"/>
                              <w:szCs w:val="28"/>
                              <w:lang w:eastAsia="zh-CN"/>
                            </w:rPr>
                            <w:t>1</w:t>
                          </w:r>
                          <w:r>
                            <w:rPr>
                              <w:rFonts w:hint="eastAsia" w:ascii="宋体" w:eastAsia="宋体"/>
                              <w:sz w:val="28"/>
                              <w:szCs w:val="28"/>
                              <w:lang w:eastAsia="zh-CN"/>
                            </w:rPr>
                            <w:fldChar w:fldCharType="end"/>
                          </w:r>
                          <w:r>
                            <w:rPr>
                              <w:rFonts w:hint="eastAsia" w:ascii="宋体" w:eastAsia="宋体"/>
                              <w:sz w:val="28"/>
                              <w:szCs w:val="28"/>
                              <w:lang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oaYJL0wAAAAUB&#10;AAAPAAAAAAAAAAEAIAAAADgAAABkcnMvZG93bnJldi54bWxQSwECFAAUAAAACACHTuJAnqYOOtEB&#10;AACjAwAADgAAAAAAAAABACAAAAA4AQAAZHJzL2Uyb0RvYy54bWxQSwUGAAAAAAYABgBZAQAAewUA&#10;AAAA&#10;">
              <v:path/>
              <v:fill on="f" focussize="0,0"/>
              <v:stroke on="f" weight="1.25pt"/>
              <v:imagedata o:title=""/>
              <o:lock v:ext="edit" aspectratio="f"/>
              <v:textbox inset="0mm,0mm,0mm,0mm" style="mso-fit-shape-to-text:t;">
                <w:txbxContent>
                  <w:p>
                    <w:pPr>
                      <w:rPr>
                        <w:rFonts w:hint="eastAsia" w:ascii="宋体" w:eastAsia="宋体"/>
                        <w:sz w:val="28"/>
                        <w:szCs w:val="28"/>
                        <w:lang w:eastAsia="zh-CN"/>
                      </w:rPr>
                    </w:pPr>
                    <w:r>
                      <w:rPr>
                        <w:rFonts w:hint="eastAsia" w:ascii="宋体" w:eastAsia="宋体"/>
                        <w:sz w:val="28"/>
                        <w:szCs w:val="28"/>
                        <w:lang w:eastAsia="zh-CN"/>
                      </w:rPr>
                      <w:t xml:space="preserve">— </w:t>
                    </w:r>
                    <w:r>
                      <w:rPr>
                        <w:rFonts w:hint="eastAsia" w:ascii="宋体" w:eastAsia="宋体"/>
                        <w:sz w:val="28"/>
                        <w:szCs w:val="28"/>
                        <w:lang w:eastAsia="zh-CN"/>
                      </w:rPr>
                      <w:fldChar w:fldCharType="begin"/>
                    </w:r>
                    <w:r>
                      <w:rPr>
                        <w:rFonts w:hint="eastAsia" w:ascii="宋体" w:eastAsia="宋体"/>
                        <w:sz w:val="28"/>
                        <w:szCs w:val="28"/>
                        <w:lang w:eastAsia="zh-CN"/>
                      </w:rPr>
                      <w:instrText xml:space="preserve"> PAGE  \* MERGEFORMAT </w:instrText>
                    </w:r>
                    <w:r>
                      <w:rPr>
                        <w:rFonts w:hint="eastAsia" w:ascii="宋体" w:eastAsia="宋体"/>
                        <w:sz w:val="28"/>
                        <w:szCs w:val="28"/>
                        <w:lang w:eastAsia="zh-CN"/>
                      </w:rPr>
                      <w:fldChar w:fldCharType="separate"/>
                    </w:r>
                    <w:r>
                      <w:rPr>
                        <w:rFonts w:hint="eastAsia" w:ascii="宋体" w:eastAsia="宋体"/>
                        <w:sz w:val="28"/>
                        <w:szCs w:val="28"/>
                        <w:lang w:eastAsia="zh-CN"/>
                      </w:rPr>
                      <w:t>1</w:t>
                    </w:r>
                    <w:r>
                      <w:rPr>
                        <w:rFonts w:hint="eastAsia" w:ascii="宋体" w:eastAsia="宋体"/>
                        <w:sz w:val="28"/>
                        <w:szCs w:val="28"/>
                        <w:lang w:eastAsia="zh-CN"/>
                      </w:rPr>
                      <w:fldChar w:fldCharType="end"/>
                    </w:r>
                    <w:r>
                      <w:rPr>
                        <w:rFonts w:hint="eastAsia" w:ascii="宋体" w:eastAsia="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2124"/>
        <w:tab w:val="clear" w:pos="4153"/>
      </w:tabs>
      <w:spacing w:line="473" w:lineRule="auto"/>
      <w:ind w:left="308" w:leftChars="100"/>
      <w:jc w:val="left"/>
      <w:rPr>
        <w:rStyle w:val="8"/>
        <w:rFonts w:hint="eastAsia" w:ascii="宋体" w:hAnsi="宋体" w:eastAsia="宋体"/>
        <w:position w:val="-28"/>
        <w:sz w:val="28"/>
      </w:rPr>
    </w:pPr>
    <w:r>
      <w:rPr>
        <w:rStyle w:val="8"/>
        <w:rFonts w:hint="eastAsia" w:ascii="宋体" w:hAnsi="宋体" w:eastAsia="宋体"/>
        <w:position w:val="-28"/>
        <w:sz w:val="28"/>
      </w:rPr>
      <w:t xml:space="preserve">— </w:t>
    </w:r>
    <w:r>
      <w:rPr>
        <w:rFonts w:hint="eastAsia" w:ascii="宋体" w:hAnsi="宋体" w:eastAsia="宋体"/>
        <w:position w:val="-28"/>
        <w:sz w:val="28"/>
      </w:rPr>
      <w:fldChar w:fldCharType="begin"/>
    </w:r>
    <w:r>
      <w:rPr>
        <w:rStyle w:val="8"/>
        <w:rFonts w:hint="eastAsia" w:ascii="宋体" w:hAnsi="宋体" w:eastAsia="宋体"/>
        <w:position w:val="-28"/>
        <w:sz w:val="28"/>
      </w:rPr>
      <w:instrText xml:space="preserve"> PAGE </w:instrText>
    </w:r>
    <w:r>
      <w:rPr>
        <w:rFonts w:hint="eastAsia" w:ascii="宋体" w:hAnsi="宋体" w:eastAsia="宋体"/>
        <w:position w:val="-28"/>
        <w:sz w:val="28"/>
      </w:rPr>
      <w:fldChar w:fldCharType="separate"/>
    </w:r>
    <w:r>
      <w:rPr>
        <w:rStyle w:val="8"/>
        <w:rFonts w:hint="eastAsia" w:ascii="宋体" w:hAnsi="宋体" w:eastAsia="宋体"/>
        <w:position w:val="-28"/>
        <w:sz w:val="28"/>
      </w:rPr>
      <w:t>2</w:t>
    </w:r>
    <w:r>
      <w:rPr>
        <w:rFonts w:hint="eastAsia" w:ascii="宋体" w:hAnsi="宋体" w:eastAsia="宋体"/>
        <w:position w:val="-28"/>
        <w:sz w:val="28"/>
      </w:rPr>
      <w:fldChar w:fldCharType="end"/>
    </w:r>
    <w:r>
      <w:rPr>
        <w:rFonts w:hint="eastAsia" w:ascii="宋体" w:hAnsi="宋体" w:eastAsia="宋体"/>
        <w:position w:val="-28"/>
        <w:sz w:val="28"/>
      </w:rPr>
      <w:t xml:space="preserve"> </w:t>
    </w:r>
    <w:r>
      <w:rPr>
        <w:rStyle w:val="8"/>
        <w:rFonts w:hint="eastAsia" w:ascii="宋体" w:hAnsi="宋体" w:eastAsia="宋体"/>
        <w:position w:val="-28"/>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BCE86"/>
    <w:rsid w:val="FFBBC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240" w:lineRule="auto"/>
    </w:pPr>
    <w:rPr>
      <w:rFonts w:ascii="Times New Roman" w:hAnsi="Times New Roman" w:eastAsia="仿宋体" w:cs="Times New Roman"/>
      <w:spacing w:val="0"/>
    </w:rPr>
  </w:style>
  <w:style w:type="paragraph" w:styleId="3">
    <w:name w:val="Title"/>
    <w:basedOn w:val="1"/>
    <w:next w:val="1"/>
    <w:qFormat/>
    <w:uiPriority w:val="10"/>
    <w:pPr>
      <w:spacing w:before="240" w:after="60" w:line="240" w:lineRule="auto"/>
      <w:jc w:val="center"/>
      <w:outlineLvl w:val="0"/>
    </w:pPr>
    <w:rPr>
      <w:rFonts w:ascii="Cambria" w:hAnsi="Cambria" w:eastAsia="仿宋体" w:cs="Times New Roman"/>
      <w:b/>
      <w:bCs/>
      <w:spacing w:val="0"/>
      <w:szCs w:val="32"/>
    </w:rPr>
  </w:style>
  <w:style w:type="paragraph" w:styleId="4">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8">
    <w:name w:val="page number"/>
    <w:basedOn w:val="7"/>
    <w:uiPriority w:val="0"/>
  </w:style>
  <w:style w:type="character" w:customStyle="1" w:styleId="9">
    <w:name w:val="bjh-p"/>
    <w:qFormat/>
    <w:uiPriority w:val="0"/>
    <w:rPr>
      <w:rFonts w:ascii="Calibri" w:hAnsi="Calibri" w:eastAsia="宋体" w:cs="Times New Roman"/>
    </w:rPr>
  </w:style>
  <w:style w:type="paragraph" w:styleId="10">
    <w:name w:val="List Paragraph"/>
    <w:basedOn w:val="1"/>
    <w:qFormat/>
    <w:uiPriority w:val="34"/>
    <w:pPr>
      <w:spacing w:line="240" w:lineRule="auto"/>
      <w:ind w:firstLine="420" w:firstLineChars="200"/>
    </w:pPr>
    <w:rPr>
      <w:rFonts w:ascii="Times New Roman" w:hAnsi="Times New Roman" w:eastAsia="仿宋体" w:cs="Times New Roman"/>
      <w:spacing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2023-07-11T10:50:00Z</dcterms:created>
  <dc:creator>xinnn</dc:creator>
  <cp:lastModifiedBy>xinnn</cp:lastModifiedBy>
  <dcterms:modified xsi:type="dcterms:W3CDTF">2023-07-11T10:50:49Z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B9FEA60232D4F06067C3AC6442608EFA_41</vt:lpwstr>
  </property>
</Properties>
</file>